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77634" w:rsidTr="00277634">
        <w:tc>
          <w:tcPr>
            <w:tcW w:w="10196" w:type="dxa"/>
            <w:shd w:val="clear" w:color="auto" w:fill="FFC000"/>
          </w:tcPr>
          <w:p w:rsidR="00277634" w:rsidRPr="00A81348" w:rsidRDefault="001768BE" w:rsidP="00A81348">
            <w:bookmarkStart w:id="0" w:name="_Hlk516644427"/>
            <w:r w:rsidRPr="001768BE">
              <w:rPr>
                <w:rFonts w:hint="eastAsia"/>
              </w:rPr>
              <w:t>美國包括中國在內全世界各國的貿易逆差和貿易平衡</w:t>
            </w:r>
            <w:bookmarkStart w:id="1" w:name="_GoBack"/>
            <w:bookmarkEnd w:id="1"/>
          </w:p>
        </w:tc>
      </w:tr>
      <w:tr w:rsidR="00277634" w:rsidTr="00277634">
        <w:tc>
          <w:tcPr>
            <w:tcW w:w="10196" w:type="dxa"/>
          </w:tcPr>
          <w:p w:rsidR="00206952" w:rsidRPr="001768BE" w:rsidRDefault="001768BE" w:rsidP="001768B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68B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資料蒐集：美國/駐芝加哥台北經濟文化辦事處經濟組 </w:t>
            </w:r>
            <w:r w:rsidRPr="001768B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本（108）年9月21日進出口貿易資訊專欄作者Ken Roberts指出，美國與全球200多個國家貿易，其中，美國與130個國家有貿易順差，美國享有貿易順差的國家比貿易逆差的國家多。根據美國普查局(U.S. Census Bureau)最新數據，2019年7月份與美國有貿易逆差的國家總數為102個。</w:t>
            </w:r>
            <w:r w:rsidRPr="001768B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但美國在2018年有8,790億美元創紀錄的貿易逆差，這可能是因為2018年美國對中國首次有超過4,000億美元的鉅額貿易逆差，比美國第二大逆差國多出五倍。亦可能是因為，2018年美國與中國、墨西哥、德國、日本、愛爾蘭、越南和意大利 等7國的貿易逆差，佔美國總逆差的85％以上。倘排除美國最大貿易逆差的13個國家，即將馬來西亞、印度、加拿大、泰國、瑞士及韓國等6國添加到以上的國家中，美國貿易基本上是平衡的。換句話說，僅排除以上13個國家，美國貿易實質上是平衡的。</w:t>
            </w:r>
            <w:r w:rsidRPr="001768B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總貿易額除以總出口可以獲知兩個國家之間是否為貿易平衡，而美國總出口占總貿易的百分比為40％，2019年美國每1美元的貿易額，出口額佔40美分。比較1999年至2019年，20年來美國貿易完全沒有惡化。</w:t>
            </w:r>
            <w:r w:rsidRPr="001768B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過去20年，美國每年貿易總額從1.72兆美元成長至4.21兆美元；出口額從6,958億美元成長至1.66兆美元；進口額從1.02兆美元成長到2.54兆美元。而美國貿易逆差從3,288.2億美元增加到8,786.8億美元。此意味著總貿易、出口、進口和逆差都在增加，但是出口對進口的相對規模實際上並無變化。雖然過去20年，此比例有些微上升或下降，但幅度並不大。1999年，美國與全球200多個國家進行貿易，其中與124個國家有貿易順差，與103個國家有貿易逆差。</w:t>
            </w:r>
            <w:r w:rsidRPr="001768B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另，過去20年美國與中國的貿易平衡情形，根據美國普查局數據，1999年，中國加入世界貿易組織（WTO）之前，美國與中國貿易額中，美國出口額比率為14％、進口為86％。2019年美國出口額比率為19％、進口為81％。</w:t>
            </w:r>
            <w:r w:rsidRPr="001768B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最後，與美國貿易順差最大的國家有兩個國家，第一是香港、第二是荷蘭，均為轉運樞紐國家。其他貿易順差國家依序為澳洲、阿拉伯聯合大公國、比利時、巴西、巴拿馬、新加坡、英國及阿根廷等國家。實際上，前20名中有10名都在同一半球。美國對這些國家的貿易順差為1,864.6億美元，仍不到美國對中國貿易逆差的一半。</w:t>
            </w:r>
          </w:p>
        </w:tc>
      </w:tr>
    </w:tbl>
    <w:p w:rsidR="00A81348" w:rsidRDefault="00A81348">
      <w:r>
        <w:br w:type="page"/>
      </w:r>
    </w:p>
    <w:p w:rsidR="009B40A6" w:rsidRDefault="009B40A6"/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77634" w:rsidTr="00277634">
        <w:tc>
          <w:tcPr>
            <w:tcW w:w="10196" w:type="dxa"/>
            <w:shd w:val="clear" w:color="auto" w:fill="FFC000"/>
          </w:tcPr>
          <w:p w:rsidR="00277634" w:rsidRPr="00A81348" w:rsidRDefault="004E4928" w:rsidP="002315F2">
            <w:r>
              <w:br w:type="page"/>
            </w:r>
            <w:r w:rsidR="002315F2">
              <w:rPr>
                <w:rFonts w:hint="eastAsia"/>
              </w:rPr>
              <w:t>瑞典金屬工會</w:t>
            </w:r>
            <w:r w:rsidR="002315F2">
              <w:rPr>
                <w:rFonts w:hint="eastAsia"/>
              </w:rPr>
              <w:t>(IF Metall)</w:t>
            </w:r>
            <w:r w:rsidR="002315F2">
              <w:rPr>
                <w:rFonts w:hint="eastAsia"/>
              </w:rPr>
              <w:t>認同政府產業政策</w:t>
            </w:r>
          </w:p>
        </w:tc>
      </w:tr>
      <w:tr w:rsidR="00277634" w:rsidTr="00523C23">
        <w:trPr>
          <w:trHeight w:val="4158"/>
        </w:trPr>
        <w:tc>
          <w:tcPr>
            <w:tcW w:w="10196" w:type="dxa"/>
          </w:tcPr>
          <w:p w:rsidR="002315F2" w:rsidRDefault="002315F2" w:rsidP="002315F2"/>
          <w:p w:rsidR="002315F2" w:rsidRDefault="002315F2" w:rsidP="002315F2">
            <w:r>
              <w:rPr>
                <w:rFonts w:hint="eastAsia"/>
              </w:rPr>
              <w:t>資料蒐集：瑞典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駐瑞典台北代表處經濟組</w:t>
            </w:r>
          </w:p>
          <w:p w:rsidR="002315F2" w:rsidRDefault="002315F2" w:rsidP="002315F2">
            <w:r>
              <w:t xml:space="preserve"> </w:t>
            </w:r>
          </w:p>
          <w:p w:rsidR="002315F2" w:rsidRDefault="002315F2" w:rsidP="002315F2"/>
          <w:p w:rsidR="002315F2" w:rsidRDefault="002315F2" w:rsidP="002315F2">
            <w:r>
              <w:rPr>
                <w:rFonts w:hint="eastAsia"/>
              </w:rPr>
              <w:t>瑞典政府希望擴大對工業的投資，以減少工業對氣候變化的影響，金屬工會認為完全符合該工會對緩和氣候變遷的政策要求。</w:t>
            </w:r>
          </w:p>
          <w:p w:rsidR="002315F2" w:rsidRDefault="002315F2" w:rsidP="002315F2"/>
          <w:p w:rsidR="002315F2" w:rsidRDefault="002315F2" w:rsidP="002315F2">
            <w:r>
              <w:rPr>
                <w:rFonts w:hint="eastAsia"/>
              </w:rPr>
              <w:t>金屬工會董事長</w:t>
            </w:r>
            <w:r>
              <w:rPr>
                <w:rFonts w:hint="eastAsia"/>
              </w:rPr>
              <w:t xml:space="preserve"> Marie Nilsson </w:t>
            </w:r>
            <w:r>
              <w:rPr>
                <w:rFonts w:hint="eastAsia"/>
              </w:rPr>
              <w:t>表示，政府的政策方向正確，但相關措施可以更積極，以實現瑞典在</w:t>
            </w:r>
            <w:r>
              <w:rPr>
                <w:rFonts w:hint="eastAsia"/>
              </w:rPr>
              <w:t>2045</w:t>
            </w:r>
            <w:r>
              <w:rPr>
                <w:rFonts w:hint="eastAsia"/>
              </w:rPr>
              <w:t>年達到零碳排放的目標。</w:t>
            </w:r>
          </w:p>
          <w:p w:rsidR="002315F2" w:rsidRDefault="002315F2" w:rsidP="002315F2"/>
          <w:p w:rsidR="002315F2" w:rsidRDefault="002315F2" w:rsidP="002315F2">
            <w:r>
              <w:rPr>
                <w:rFonts w:hint="eastAsia"/>
              </w:rPr>
              <w:t>金屬工會列出三個增進瑞典工業發展的措施：</w:t>
            </w:r>
          </w:p>
          <w:p w:rsidR="002315F2" w:rsidRDefault="002315F2" w:rsidP="002315F2"/>
          <w:p w:rsidR="002315F2" w:rsidRDefault="002315F2" w:rsidP="002315F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簡化礦產許可申請：工業和運輸業的環保改善計畫需要電池，而電池是由瑞典豐富的礦物所製成，現階段瑞典採礦業因許可申請流程冗長，造成不必要的風險和不確定性，進而迫使採礦業者移到工作條件低、環保要求比瑞典低的國家。加速採礦許可流程是瑞典政府必須考慮的問題。</w:t>
            </w:r>
          </w:p>
          <w:p w:rsidR="002315F2" w:rsidRDefault="002315F2" w:rsidP="002315F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確保環保的電力供給：無化石電力是改善氣候變遷成功的關鍵。瑞典工業需要供給穩定的電力，以及具有競爭力的電力價格。因此，現在需要一個高效能電網的建設計畫。</w:t>
            </w:r>
          </w:p>
          <w:p w:rsidR="00A545A4" w:rsidRPr="00FD7742" w:rsidRDefault="002315F2" w:rsidP="002315F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生質燃料的重要性：目前，生質燃料在能源和改善氣候中扮演著重要的角色，尤其是航空業，因此市場預計對生質燃料的需求將增倍。瑞典在生質燃料產業有相當良好的條件，需要更多投資，以加強生質燃料的競爭力。</w:t>
            </w:r>
          </w:p>
        </w:tc>
      </w:tr>
      <w:bookmarkEnd w:id="0"/>
    </w:tbl>
    <w:p w:rsidR="00592C22" w:rsidRDefault="00EB62AB"/>
    <w:sectPr w:rsidR="00592C22" w:rsidSect="004E4928">
      <w:pgSz w:w="11906" w:h="16838"/>
      <w:pgMar w:top="993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2AB" w:rsidRDefault="00EB62AB" w:rsidP="006D5BDC">
      <w:r>
        <w:separator/>
      </w:r>
    </w:p>
  </w:endnote>
  <w:endnote w:type="continuationSeparator" w:id="0">
    <w:p w:rsidR="00EB62AB" w:rsidRDefault="00EB62AB" w:rsidP="006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2AB" w:rsidRDefault="00EB62AB" w:rsidP="006D5BDC">
      <w:r>
        <w:separator/>
      </w:r>
    </w:p>
  </w:footnote>
  <w:footnote w:type="continuationSeparator" w:id="0">
    <w:p w:rsidR="00EB62AB" w:rsidRDefault="00EB62AB" w:rsidP="006D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34"/>
    <w:rsid w:val="000972E7"/>
    <w:rsid w:val="000C38D2"/>
    <w:rsid w:val="000D54AD"/>
    <w:rsid w:val="001768BE"/>
    <w:rsid w:val="00206952"/>
    <w:rsid w:val="002315F2"/>
    <w:rsid w:val="002521B3"/>
    <w:rsid w:val="00277634"/>
    <w:rsid w:val="00280760"/>
    <w:rsid w:val="00295644"/>
    <w:rsid w:val="002D5C0D"/>
    <w:rsid w:val="002E08B5"/>
    <w:rsid w:val="00363CBD"/>
    <w:rsid w:val="00387DFB"/>
    <w:rsid w:val="003A1E02"/>
    <w:rsid w:val="003A3021"/>
    <w:rsid w:val="00402A31"/>
    <w:rsid w:val="004A508C"/>
    <w:rsid w:val="004D7821"/>
    <w:rsid w:val="004E4928"/>
    <w:rsid w:val="00523C23"/>
    <w:rsid w:val="00553F32"/>
    <w:rsid w:val="005577AD"/>
    <w:rsid w:val="00561F46"/>
    <w:rsid w:val="005B43BA"/>
    <w:rsid w:val="00601025"/>
    <w:rsid w:val="00616E14"/>
    <w:rsid w:val="006549C2"/>
    <w:rsid w:val="006D435F"/>
    <w:rsid w:val="006D5BDC"/>
    <w:rsid w:val="006F6485"/>
    <w:rsid w:val="00823A26"/>
    <w:rsid w:val="00844AC7"/>
    <w:rsid w:val="00895AF6"/>
    <w:rsid w:val="00971813"/>
    <w:rsid w:val="009B40A6"/>
    <w:rsid w:val="009C2AB8"/>
    <w:rsid w:val="009D3AEA"/>
    <w:rsid w:val="009F026E"/>
    <w:rsid w:val="00A545A4"/>
    <w:rsid w:val="00A81348"/>
    <w:rsid w:val="00AA7D20"/>
    <w:rsid w:val="00AD7BB9"/>
    <w:rsid w:val="00BA52B6"/>
    <w:rsid w:val="00BE7F3F"/>
    <w:rsid w:val="00D02F5F"/>
    <w:rsid w:val="00D77356"/>
    <w:rsid w:val="00E04976"/>
    <w:rsid w:val="00E267C7"/>
    <w:rsid w:val="00E66F99"/>
    <w:rsid w:val="00EB62AB"/>
    <w:rsid w:val="00ED1BAB"/>
    <w:rsid w:val="00F70BC1"/>
    <w:rsid w:val="00F86858"/>
    <w:rsid w:val="00FC4638"/>
    <w:rsid w:val="00F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B28F1"/>
  <w15:chartTrackingRefBased/>
  <w15:docId w15:val="{9690AD76-AA89-42DE-9A7F-309E111C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768B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5B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5BD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3C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1768B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高立武</dc:creator>
  <cp:keywords/>
  <dc:description/>
  <cp:lastModifiedBy>高立武</cp:lastModifiedBy>
  <cp:revision>2</cp:revision>
  <cp:lastPrinted>2018-10-15T08:01:00Z</cp:lastPrinted>
  <dcterms:created xsi:type="dcterms:W3CDTF">2019-10-15T01:24:00Z</dcterms:created>
  <dcterms:modified xsi:type="dcterms:W3CDTF">2019-10-15T01:24:00Z</dcterms:modified>
</cp:coreProperties>
</file>